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</w:tblGrid>
      <w:tr w:rsidR="006E5357" w:rsidRPr="00774DE9" w:rsidTr="00F900C6">
        <w:trPr>
          <w:jc w:val="right"/>
        </w:trPr>
        <w:tc>
          <w:tcPr>
            <w:tcW w:w="5086" w:type="dxa"/>
            <w:hideMark/>
          </w:tcPr>
          <w:p w:rsidR="00F900C6" w:rsidRPr="00774DE9" w:rsidRDefault="00F900C6" w:rsidP="00F900C6">
            <w:pPr>
              <w:spacing w:after="0" w:line="360" w:lineRule="auto"/>
              <w:ind w:left="-374" w:firstLine="374"/>
              <w:jc w:val="center"/>
              <w:rPr>
                <w:rFonts w:eastAsia="Times New Roman"/>
                <w:caps/>
                <w:szCs w:val="30"/>
                <w:lang w:eastAsia="ru-RU"/>
              </w:rPr>
            </w:pPr>
            <w:r w:rsidRPr="00774DE9">
              <w:rPr>
                <w:rFonts w:eastAsia="Times New Roman"/>
                <w:szCs w:val="30"/>
                <w:lang w:eastAsia="ru-RU"/>
              </w:rPr>
              <w:br w:type="page"/>
              <w:t xml:space="preserve">ПРИЛОЖЕНИЕ № </w:t>
            </w:r>
            <w:r w:rsidR="007529A9" w:rsidRPr="00774DE9">
              <w:rPr>
                <w:rFonts w:eastAsia="Times New Roman"/>
                <w:szCs w:val="30"/>
                <w:lang w:eastAsia="ru-RU"/>
              </w:rPr>
              <w:t>4</w:t>
            </w:r>
          </w:p>
          <w:p w:rsidR="00F900C6" w:rsidRPr="00774DE9" w:rsidRDefault="0073309E" w:rsidP="00F900C6">
            <w:pPr>
              <w:tabs>
                <w:tab w:val="left" w:pos="5158"/>
              </w:tabs>
              <w:spacing w:after="0" w:line="240" w:lineRule="auto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к Решению Коллегии</w:t>
            </w:r>
            <w:r w:rsidR="00F900C6" w:rsidRPr="00774DE9">
              <w:rPr>
                <w:rFonts w:eastAsia="Times New Roman"/>
                <w:szCs w:val="30"/>
                <w:lang w:eastAsia="ru-RU"/>
              </w:rPr>
              <w:br/>
              <w:t>Евразийской экономической комиссии</w:t>
            </w:r>
          </w:p>
          <w:p w:rsidR="006E5357" w:rsidRPr="00774DE9" w:rsidRDefault="009A6701" w:rsidP="009A6701">
            <w:pPr>
              <w:spacing w:after="0" w:line="240" w:lineRule="auto"/>
              <w:jc w:val="center"/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eastAsia="ru-RU"/>
              </w:rPr>
              <w:t>от 16 февраля</w:t>
            </w:r>
            <w:r w:rsidR="0073309E">
              <w:rPr>
                <w:rFonts w:eastAsia="Times New Roman"/>
                <w:szCs w:val="30"/>
                <w:lang w:eastAsia="ru-RU"/>
              </w:rPr>
              <w:t xml:space="preserve"> 202</w:t>
            </w:r>
            <w:r>
              <w:rPr>
                <w:rFonts w:eastAsia="Times New Roman"/>
                <w:szCs w:val="30"/>
                <w:lang w:eastAsia="ru-RU"/>
              </w:rPr>
              <w:t>1</w:t>
            </w:r>
            <w:r w:rsidR="00F900C6" w:rsidRPr="00774DE9">
              <w:rPr>
                <w:rFonts w:eastAsia="Times New Roman"/>
                <w:szCs w:val="30"/>
                <w:lang w:eastAsia="ru-RU"/>
              </w:rPr>
              <w:t xml:space="preserve"> г. №</w:t>
            </w:r>
            <w:r>
              <w:rPr>
                <w:rFonts w:eastAsia="Times New Roman"/>
                <w:szCs w:val="30"/>
                <w:lang w:eastAsia="ru-RU"/>
              </w:rPr>
              <w:t xml:space="preserve"> 13</w:t>
            </w:r>
            <w:bookmarkStart w:id="0" w:name="_GoBack"/>
            <w:bookmarkEnd w:id="0"/>
          </w:p>
        </w:tc>
      </w:tr>
    </w:tbl>
    <w:p w:rsidR="007529A9" w:rsidRDefault="007529A9" w:rsidP="006E5357">
      <w:pPr>
        <w:spacing w:after="0" w:line="240" w:lineRule="auto"/>
        <w:jc w:val="center"/>
        <w:rPr>
          <w:rFonts w:eastAsia="Times New Roman"/>
          <w:szCs w:val="30"/>
          <w:lang w:eastAsia="ru-RU"/>
        </w:rPr>
      </w:pPr>
    </w:p>
    <w:p w:rsidR="00066E8E" w:rsidRDefault="00066E8E" w:rsidP="006E5357">
      <w:pPr>
        <w:spacing w:after="0" w:line="240" w:lineRule="auto"/>
        <w:jc w:val="center"/>
        <w:rPr>
          <w:rFonts w:eastAsia="Times New Roman"/>
          <w:szCs w:val="30"/>
          <w:lang w:eastAsia="ru-RU"/>
        </w:rPr>
      </w:pPr>
    </w:p>
    <w:p w:rsidR="00066E8E" w:rsidRPr="00774DE9" w:rsidRDefault="00066E8E" w:rsidP="006E5357">
      <w:pPr>
        <w:spacing w:after="0" w:line="240" w:lineRule="auto"/>
        <w:jc w:val="center"/>
        <w:rPr>
          <w:rFonts w:eastAsia="Times New Roman"/>
          <w:szCs w:val="30"/>
          <w:lang w:eastAsia="ru-RU"/>
        </w:rPr>
      </w:pPr>
    </w:p>
    <w:p w:rsidR="007529A9" w:rsidRPr="00774DE9" w:rsidRDefault="007529A9" w:rsidP="007C6890">
      <w:pPr>
        <w:tabs>
          <w:tab w:val="left" w:pos="3656"/>
        </w:tabs>
        <w:spacing w:after="0" w:line="240" w:lineRule="auto"/>
        <w:jc w:val="center"/>
        <w:rPr>
          <w:b/>
          <w:szCs w:val="30"/>
        </w:rPr>
      </w:pPr>
      <w:r w:rsidRPr="00774DE9">
        <w:rPr>
          <w:b/>
          <w:spacing w:val="40"/>
          <w:szCs w:val="30"/>
        </w:rPr>
        <w:t>ИЗМЕНЕНИ</w:t>
      </w:r>
      <w:r w:rsidRPr="00774DE9">
        <w:rPr>
          <w:b/>
          <w:szCs w:val="30"/>
        </w:rPr>
        <w:t>Я,</w:t>
      </w:r>
    </w:p>
    <w:p w:rsidR="009B27B0" w:rsidRPr="00774DE9" w:rsidRDefault="007529A9" w:rsidP="001E1086">
      <w:pPr>
        <w:spacing w:after="0" w:line="240" w:lineRule="auto"/>
        <w:jc w:val="center"/>
        <w:rPr>
          <w:b/>
          <w:szCs w:val="30"/>
        </w:rPr>
      </w:pPr>
      <w:r w:rsidRPr="00774DE9">
        <w:rPr>
          <w:b/>
          <w:szCs w:val="30"/>
        </w:rPr>
        <w:t xml:space="preserve">вносимые в решения </w:t>
      </w:r>
      <w:r w:rsidR="00477DB7">
        <w:rPr>
          <w:b/>
          <w:szCs w:val="30"/>
        </w:rPr>
        <w:t xml:space="preserve">Коллегии </w:t>
      </w:r>
      <w:r w:rsidR="0073309E">
        <w:rPr>
          <w:b/>
          <w:szCs w:val="30"/>
        </w:rPr>
        <w:t>Евразийской</w:t>
      </w:r>
      <w:r w:rsidR="00597F87">
        <w:rPr>
          <w:b/>
          <w:szCs w:val="30"/>
        </w:rPr>
        <w:br/>
      </w:r>
      <w:r w:rsidR="0073309E">
        <w:rPr>
          <w:b/>
          <w:szCs w:val="30"/>
        </w:rPr>
        <w:t>экономической комиссии</w:t>
      </w:r>
    </w:p>
    <w:p w:rsidR="007529A9" w:rsidRPr="00774DE9" w:rsidRDefault="007529A9" w:rsidP="00066E8E">
      <w:pPr>
        <w:spacing w:after="0" w:line="360" w:lineRule="auto"/>
        <w:rPr>
          <w:b/>
          <w:szCs w:val="30"/>
        </w:rPr>
      </w:pPr>
    </w:p>
    <w:p w:rsidR="0009204E" w:rsidRDefault="00C25DA8" w:rsidP="0009204E">
      <w:pPr>
        <w:tabs>
          <w:tab w:val="left" w:pos="3656"/>
        </w:tabs>
        <w:spacing w:after="0" w:line="360" w:lineRule="auto"/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1</w:t>
      </w:r>
      <w:r w:rsidR="00FE661E">
        <w:rPr>
          <w:color w:val="000000"/>
          <w:szCs w:val="30"/>
        </w:rPr>
        <w:t>. </w:t>
      </w:r>
      <w:r w:rsidR="0009204E">
        <w:rPr>
          <w:color w:val="000000"/>
          <w:szCs w:val="30"/>
        </w:rPr>
        <w:t>В Решении Коллегии Евразийской экономической комиссии от 21 апреля 2015 г. № 30 «О мерах нетарифного регулирования»:</w:t>
      </w:r>
    </w:p>
    <w:p w:rsidR="005940A3" w:rsidRPr="00C36EB6" w:rsidRDefault="0009204E">
      <w:pPr>
        <w:tabs>
          <w:tab w:val="left" w:pos="3656"/>
        </w:tabs>
        <w:spacing w:after="0" w:line="360" w:lineRule="auto"/>
        <w:ind w:firstLine="709"/>
        <w:jc w:val="both"/>
        <w:rPr>
          <w:szCs w:val="30"/>
        </w:rPr>
      </w:pPr>
      <w:r>
        <w:rPr>
          <w:szCs w:val="30"/>
        </w:rPr>
        <w:t>а) в</w:t>
      </w:r>
      <w:r w:rsidR="005940A3" w:rsidRPr="00C36EB6">
        <w:rPr>
          <w:szCs w:val="30"/>
        </w:rPr>
        <w:t xml:space="preserve"> перечне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</w:t>
      </w:r>
      <w:r w:rsidR="005940A3">
        <w:rPr>
          <w:szCs w:val="30"/>
        </w:rPr>
        <w:br/>
      </w:r>
      <w:r w:rsidR="005940A3" w:rsidRPr="00C36EB6">
        <w:rPr>
          <w:szCs w:val="30"/>
        </w:rPr>
        <w:t>к</w:t>
      </w:r>
      <w:r w:rsidR="00BD0FA2">
        <w:rPr>
          <w:szCs w:val="30"/>
        </w:rPr>
        <w:t xml:space="preserve"> указанному</w:t>
      </w:r>
      <w:r w:rsidR="00C64C45">
        <w:rPr>
          <w:szCs w:val="30"/>
        </w:rPr>
        <w:t xml:space="preserve"> Решению</w:t>
      </w:r>
      <w:r w:rsidR="005940A3" w:rsidRPr="00C36EB6">
        <w:rPr>
          <w:szCs w:val="30"/>
        </w:rPr>
        <w:t>)</w:t>
      </w:r>
      <w:r w:rsidR="00BD0FA2">
        <w:rPr>
          <w:szCs w:val="30"/>
        </w:rPr>
        <w:t>, в</w:t>
      </w:r>
      <w:r w:rsidR="005940A3" w:rsidRPr="00C36EB6">
        <w:rPr>
          <w:szCs w:val="30"/>
        </w:rPr>
        <w:t xml:space="preserve"> позици</w:t>
      </w:r>
      <w:r w:rsidR="00BD0FA2">
        <w:rPr>
          <w:szCs w:val="30"/>
        </w:rPr>
        <w:t>и</w:t>
      </w:r>
      <w:r w:rsidR="005940A3" w:rsidRPr="00C36EB6">
        <w:rPr>
          <w:szCs w:val="30"/>
        </w:rPr>
        <w:t xml:space="preserve"> 6 таблицы 2 раздела 2.9 </w:t>
      </w:r>
      <w:r w:rsidR="002B5A3A">
        <w:rPr>
          <w:szCs w:val="30"/>
        </w:rPr>
        <w:t>слова</w:t>
      </w:r>
      <w:r w:rsidR="00DF0DCD">
        <w:rPr>
          <w:szCs w:val="30"/>
        </w:rPr>
        <w:br/>
      </w:r>
      <w:r w:rsidR="00BD0FA2">
        <w:rPr>
          <w:szCs w:val="30"/>
        </w:rPr>
        <w:t>«из 7102 39 000 0» заменить кодом «</w:t>
      </w:r>
      <w:r w:rsidR="00BD0FA2" w:rsidRPr="005940A3">
        <w:rPr>
          <w:szCs w:val="30"/>
        </w:rPr>
        <w:t>7102 39</w:t>
      </w:r>
      <w:r w:rsidR="00015EFB">
        <w:rPr>
          <w:szCs w:val="30"/>
        </w:rPr>
        <w:t> </w:t>
      </w:r>
      <w:r w:rsidR="00BD0FA2" w:rsidRPr="005940A3">
        <w:rPr>
          <w:szCs w:val="30"/>
        </w:rPr>
        <w:t>000</w:t>
      </w:r>
      <w:r w:rsidR="00D921FA">
        <w:rPr>
          <w:szCs w:val="30"/>
        </w:rPr>
        <w:t>»</w:t>
      </w:r>
      <w:r w:rsidR="00015EFB" w:rsidRPr="00015EFB">
        <w:rPr>
          <w:szCs w:val="30"/>
        </w:rPr>
        <w:t xml:space="preserve"> </w:t>
      </w:r>
      <w:r w:rsidR="00015EFB" w:rsidRPr="00BD0FA2">
        <w:rPr>
          <w:szCs w:val="30"/>
        </w:rPr>
        <w:t>ТН ВЭД ЕАЭС</w:t>
      </w:r>
      <w:r w:rsidR="00BD0FA2">
        <w:rPr>
          <w:szCs w:val="30"/>
        </w:rPr>
        <w:t>;</w:t>
      </w:r>
    </w:p>
    <w:p w:rsidR="00B92B7A" w:rsidRDefault="0009204E" w:rsidP="00E82324">
      <w:pPr>
        <w:spacing w:after="0" w:line="360" w:lineRule="auto"/>
        <w:ind w:firstLine="709"/>
        <w:jc w:val="both"/>
        <w:rPr>
          <w:szCs w:val="30"/>
        </w:rPr>
      </w:pPr>
      <w:r>
        <w:rPr>
          <w:szCs w:val="30"/>
        </w:rPr>
        <w:t>б) в</w:t>
      </w:r>
      <w:r w:rsidR="00775C7A">
        <w:rPr>
          <w:szCs w:val="30"/>
        </w:rPr>
        <w:t xml:space="preserve"> абзаце втором пункта 3 </w:t>
      </w:r>
      <w:r w:rsidR="00B400DA">
        <w:rPr>
          <w:szCs w:val="30"/>
        </w:rPr>
        <w:t>приложени</w:t>
      </w:r>
      <w:r w:rsidR="00775C7A">
        <w:rPr>
          <w:szCs w:val="30"/>
        </w:rPr>
        <w:t>я</w:t>
      </w:r>
      <w:r w:rsidR="00B400DA">
        <w:rPr>
          <w:szCs w:val="30"/>
        </w:rPr>
        <w:t xml:space="preserve"> № 2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(приложение № 13 к</w:t>
      </w:r>
      <w:r w:rsidR="00775C7A">
        <w:rPr>
          <w:szCs w:val="30"/>
        </w:rPr>
        <w:t xml:space="preserve"> указанному</w:t>
      </w:r>
      <w:r w:rsidR="00B400DA">
        <w:rPr>
          <w:szCs w:val="30"/>
        </w:rPr>
        <w:t xml:space="preserve"> Решению) </w:t>
      </w:r>
      <w:r w:rsidR="00DF0DCD">
        <w:rPr>
          <w:szCs w:val="30"/>
        </w:rPr>
        <w:t xml:space="preserve">слова </w:t>
      </w:r>
      <w:r w:rsidR="00B92B7A">
        <w:rPr>
          <w:szCs w:val="30"/>
        </w:rPr>
        <w:t xml:space="preserve">«из 7102 39 000 0 ТН ВЭД ЕАЭС» заменить </w:t>
      </w:r>
      <w:r w:rsidR="00DF0DCD">
        <w:rPr>
          <w:szCs w:val="30"/>
        </w:rPr>
        <w:t>словами</w:t>
      </w:r>
      <w:r w:rsidR="00F56A28">
        <w:rPr>
          <w:szCs w:val="30"/>
        </w:rPr>
        <w:t xml:space="preserve"> </w:t>
      </w:r>
      <w:r w:rsidR="00B92B7A">
        <w:rPr>
          <w:szCs w:val="30"/>
        </w:rPr>
        <w:t>«7102 39</w:t>
      </w:r>
      <w:r w:rsidR="00DF0DCD">
        <w:rPr>
          <w:szCs w:val="30"/>
        </w:rPr>
        <w:t> </w:t>
      </w:r>
      <w:r w:rsidR="00B92B7A">
        <w:rPr>
          <w:szCs w:val="30"/>
        </w:rPr>
        <w:t>000</w:t>
      </w:r>
      <w:r w:rsidR="00DF0DCD">
        <w:rPr>
          <w:szCs w:val="30"/>
        </w:rPr>
        <w:br/>
      </w:r>
      <w:r w:rsidR="00B92B7A">
        <w:rPr>
          <w:szCs w:val="30"/>
        </w:rPr>
        <w:t>ТН ВЭД ЕАЭС».</w:t>
      </w:r>
    </w:p>
    <w:p w:rsidR="00627EEC" w:rsidRDefault="005940A3" w:rsidP="00E82324">
      <w:pPr>
        <w:spacing w:after="0" w:line="360" w:lineRule="auto"/>
        <w:ind w:firstLine="709"/>
        <w:jc w:val="both"/>
        <w:rPr>
          <w:szCs w:val="30"/>
        </w:rPr>
      </w:pPr>
      <w:r>
        <w:rPr>
          <w:szCs w:val="30"/>
        </w:rPr>
        <w:t>2. </w:t>
      </w:r>
      <w:r w:rsidR="00FE661E" w:rsidRPr="00774DE9">
        <w:rPr>
          <w:szCs w:val="30"/>
        </w:rPr>
        <w:t xml:space="preserve">В перечне </w:t>
      </w:r>
      <w:r w:rsidR="00F12298">
        <w:rPr>
          <w:szCs w:val="30"/>
        </w:rPr>
        <w:t>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</w:t>
      </w:r>
      <w:r w:rsidR="00A8590B">
        <w:rPr>
          <w:szCs w:val="30"/>
        </w:rPr>
        <w:br/>
      </w:r>
      <w:r w:rsidR="00F12298">
        <w:rPr>
          <w:szCs w:val="30"/>
        </w:rPr>
        <w:t xml:space="preserve">и Социалистической Республикой Вьетнам, с другой стороны, от 29 мая 2015 года, и размеров таких ставок, утвержденном Решением Коллегии </w:t>
      </w:r>
      <w:r w:rsidR="00F12298">
        <w:rPr>
          <w:szCs w:val="30"/>
        </w:rPr>
        <w:lastRenderedPageBreak/>
        <w:t>Евразийской экономической ком</w:t>
      </w:r>
      <w:r w:rsidR="00FE70BB">
        <w:rPr>
          <w:szCs w:val="30"/>
        </w:rPr>
        <w:t>иссии от 19 апреля 2016 г. № 36</w:t>
      </w:r>
      <w:r w:rsidR="00A8590B">
        <w:rPr>
          <w:szCs w:val="30"/>
        </w:rPr>
        <w:t>,</w:t>
      </w:r>
      <w:r w:rsidR="00FE70BB">
        <w:rPr>
          <w:szCs w:val="30"/>
        </w:rPr>
        <w:t xml:space="preserve"> </w:t>
      </w:r>
      <w:r w:rsidR="00627EEC">
        <w:rPr>
          <w:szCs w:val="30"/>
        </w:rPr>
        <w:t>позицию с кодом 7102 39 000 0 ТН ВЭД ЕАЭС заменить позициями следующего содержания: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627EEC" w:rsidRPr="00216642" w:rsidTr="008E26E0">
        <w:trPr>
          <w:cantSplit/>
          <w:trHeight w:val="705"/>
        </w:trPr>
        <w:tc>
          <w:tcPr>
            <w:tcW w:w="1985" w:type="dxa"/>
            <w:shd w:val="clear" w:color="auto" w:fill="auto"/>
            <w:hideMark/>
          </w:tcPr>
          <w:p w:rsidR="00627EEC" w:rsidRPr="00216642" w:rsidRDefault="00627EEC" w:rsidP="001F6131">
            <w:pPr>
              <w:spacing w:after="0" w:line="240" w:lineRule="auto"/>
              <w:ind w:left="-108" w:right="-108"/>
              <w:rPr>
                <w:szCs w:val="30"/>
              </w:rPr>
            </w:pPr>
            <w:r>
              <w:rPr>
                <w:szCs w:val="30"/>
              </w:rPr>
              <w:t>«7102 39 000 1</w:t>
            </w:r>
          </w:p>
        </w:tc>
        <w:tc>
          <w:tcPr>
            <w:tcW w:w="2977" w:type="dxa"/>
            <w:shd w:val="clear" w:color="auto" w:fill="auto"/>
            <w:hideMark/>
          </w:tcPr>
          <w:p w:rsidR="00627EEC" w:rsidRPr="00112091" w:rsidRDefault="008E26E0" w:rsidP="008E26E0">
            <w:pPr>
              <w:spacing w:after="120" w:line="240" w:lineRule="auto"/>
              <w:ind w:left="601" w:hanging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– – – </w:t>
            </w:r>
            <w:r w:rsidR="00627EEC">
              <w:rPr>
                <w:sz w:val="28"/>
                <w:szCs w:val="28"/>
              </w:rPr>
              <w:t>массой менее</w:t>
            </w:r>
            <w:r w:rsidR="00587320">
              <w:rPr>
                <w:sz w:val="28"/>
                <w:szCs w:val="28"/>
              </w:rPr>
              <w:br/>
            </w:r>
            <w:r w:rsidR="00627EEC">
              <w:rPr>
                <w:sz w:val="28"/>
                <w:szCs w:val="28"/>
              </w:rPr>
              <w:t>0,3 карата</w:t>
            </w:r>
          </w:p>
        </w:tc>
        <w:tc>
          <w:tcPr>
            <w:tcW w:w="567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12,3</w:t>
            </w:r>
          </w:p>
        </w:tc>
        <w:tc>
          <w:tcPr>
            <w:tcW w:w="567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10,9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9,5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8,2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6,8</w:t>
            </w:r>
          </w:p>
        </w:tc>
        <w:tc>
          <w:tcPr>
            <w:tcW w:w="426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5,5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4,1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2,7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1,4</w:t>
            </w:r>
          </w:p>
        </w:tc>
        <w:tc>
          <w:tcPr>
            <w:tcW w:w="426" w:type="dxa"/>
            <w:shd w:val="clear" w:color="auto" w:fill="auto"/>
          </w:tcPr>
          <w:p w:rsidR="00627EEC" w:rsidRPr="00216642" w:rsidRDefault="00627EEC" w:rsidP="001F6131">
            <w:pPr>
              <w:spacing w:after="0" w:line="24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 w:rsidRPr="00216642">
              <w:rPr>
                <w:color w:val="000000"/>
                <w:spacing w:val="-10"/>
                <w:szCs w:val="30"/>
              </w:rPr>
              <w:t>0</w:t>
            </w:r>
          </w:p>
        </w:tc>
      </w:tr>
      <w:tr w:rsidR="00627EEC" w:rsidRPr="00216642" w:rsidTr="00E82324">
        <w:trPr>
          <w:cantSplit/>
          <w:trHeight w:val="359"/>
        </w:trPr>
        <w:tc>
          <w:tcPr>
            <w:tcW w:w="198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8" w:right="-108"/>
              <w:rPr>
                <w:szCs w:val="30"/>
              </w:rPr>
            </w:pPr>
            <w:r>
              <w:rPr>
                <w:szCs w:val="30"/>
              </w:rPr>
              <w:t>7102 39 000 9</w:t>
            </w:r>
          </w:p>
        </w:tc>
        <w:tc>
          <w:tcPr>
            <w:tcW w:w="2977" w:type="dxa"/>
            <w:shd w:val="clear" w:color="auto" w:fill="auto"/>
          </w:tcPr>
          <w:p w:rsidR="00627EEC" w:rsidRDefault="00627EEC" w:rsidP="00E82324">
            <w:pPr>
              <w:tabs>
                <w:tab w:val="right" w:pos="2761"/>
              </w:tabs>
              <w:spacing w:after="120" w:line="360" w:lineRule="auto"/>
              <w:ind w:left="743" w:hanging="85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– – – прочие</w:t>
            </w:r>
            <w:r w:rsidR="004A0E85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12,3</w:t>
            </w:r>
          </w:p>
        </w:tc>
        <w:tc>
          <w:tcPr>
            <w:tcW w:w="567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10,9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9,5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8,2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spacing w:val="-10"/>
                <w:szCs w:val="30"/>
              </w:rPr>
            </w:pPr>
            <w:r>
              <w:rPr>
                <w:spacing w:val="-10"/>
                <w:szCs w:val="30"/>
              </w:rPr>
              <w:t>6,8</w:t>
            </w:r>
          </w:p>
        </w:tc>
        <w:tc>
          <w:tcPr>
            <w:tcW w:w="426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5,5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4,1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2,7</w:t>
            </w:r>
          </w:p>
        </w:tc>
        <w:tc>
          <w:tcPr>
            <w:tcW w:w="425" w:type="dxa"/>
            <w:shd w:val="clear" w:color="auto" w:fill="auto"/>
          </w:tcPr>
          <w:p w:rsidR="00627EEC" w:rsidRPr="00216642" w:rsidRDefault="00627EEC" w:rsidP="00E82324">
            <w:pPr>
              <w:spacing w:after="0" w:line="36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>
              <w:rPr>
                <w:color w:val="000000"/>
                <w:spacing w:val="-10"/>
                <w:szCs w:val="30"/>
              </w:rPr>
              <w:t>1,4</w:t>
            </w:r>
          </w:p>
        </w:tc>
        <w:tc>
          <w:tcPr>
            <w:tcW w:w="426" w:type="dxa"/>
            <w:shd w:val="clear" w:color="auto" w:fill="auto"/>
          </w:tcPr>
          <w:p w:rsidR="00627EEC" w:rsidRPr="004A0E85" w:rsidRDefault="00627EEC" w:rsidP="00E82324">
            <w:pPr>
              <w:spacing w:after="0" w:line="360" w:lineRule="auto"/>
              <w:ind w:left="-103" w:right="-108"/>
              <w:jc w:val="center"/>
              <w:rPr>
                <w:color w:val="000000"/>
                <w:spacing w:val="-10"/>
                <w:szCs w:val="30"/>
              </w:rPr>
            </w:pPr>
            <w:r w:rsidRPr="00216642">
              <w:rPr>
                <w:color w:val="000000"/>
                <w:spacing w:val="-10"/>
                <w:szCs w:val="30"/>
              </w:rPr>
              <w:t>0</w:t>
            </w:r>
            <w:r>
              <w:rPr>
                <w:color w:val="000000"/>
                <w:spacing w:val="-10"/>
                <w:szCs w:val="30"/>
              </w:rPr>
              <w:t>»</w:t>
            </w:r>
            <w:r w:rsidR="004A0E85">
              <w:rPr>
                <w:color w:val="000000"/>
                <w:spacing w:val="-10"/>
                <w:szCs w:val="30"/>
              </w:rPr>
              <w:t>.</w:t>
            </w:r>
          </w:p>
        </w:tc>
      </w:tr>
    </w:tbl>
    <w:p w:rsidR="006E1AE3" w:rsidRPr="008E26E0" w:rsidRDefault="00D45284" w:rsidP="00BF424C">
      <w:pPr>
        <w:spacing w:after="0" w:line="360" w:lineRule="auto"/>
        <w:ind w:firstLine="709"/>
        <w:jc w:val="both"/>
        <w:rPr>
          <w:szCs w:val="30"/>
        </w:rPr>
      </w:pPr>
      <w:r>
        <w:rPr>
          <w:szCs w:val="30"/>
        </w:rPr>
        <w:t>3. </w:t>
      </w:r>
      <w:r w:rsidR="00617FD2">
        <w:rPr>
          <w:szCs w:val="30"/>
        </w:rPr>
        <w:t xml:space="preserve">В перечне товаров и ставок, </w:t>
      </w:r>
      <w:r w:rsidR="00BA657A">
        <w:rPr>
          <w:szCs w:val="30"/>
        </w:rPr>
        <w:t>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Коллегии Евразийской экономической комиссии от 28 апреля 2020 г. № 62</w:t>
      </w:r>
      <w:r w:rsidR="00390B8C">
        <w:rPr>
          <w:szCs w:val="30"/>
        </w:rPr>
        <w:t>,</w:t>
      </w:r>
      <w:r w:rsidR="00BF424C">
        <w:rPr>
          <w:szCs w:val="30"/>
        </w:rPr>
        <w:t xml:space="preserve"> </w:t>
      </w:r>
      <w:r w:rsidR="00BA657A" w:rsidRPr="00EB6B4E">
        <w:rPr>
          <w:szCs w:val="30"/>
        </w:rPr>
        <w:t xml:space="preserve">позиции с кодами </w:t>
      </w:r>
      <w:r w:rsidR="00EB6B4E" w:rsidRPr="00EB6B4E">
        <w:rPr>
          <w:szCs w:val="30"/>
        </w:rPr>
        <w:t xml:space="preserve">7103 10 000 1, 7103 10 000 2, 7103 10 000 3, 7103 10 000 4, 7103 10 000 5, 7103 10 000 8, </w:t>
      </w:r>
      <w:r w:rsidR="003A245C" w:rsidRPr="00EB6B4E">
        <w:rPr>
          <w:szCs w:val="30"/>
        </w:rPr>
        <w:t>7103 91 000 1, 7103 91 000 2, 710</w:t>
      </w:r>
      <w:r w:rsidR="00EB6B4E" w:rsidRPr="00EB6B4E">
        <w:rPr>
          <w:szCs w:val="30"/>
        </w:rPr>
        <w:t>3 91 000 3, 7103 99 000 2, 7103 99 000 </w:t>
      </w:r>
      <w:r w:rsidR="003A245C" w:rsidRPr="00EB6B4E">
        <w:rPr>
          <w:szCs w:val="30"/>
        </w:rPr>
        <w:t xml:space="preserve">8, </w:t>
      </w:r>
      <w:r w:rsidR="00EB6B4E" w:rsidRPr="00EB6B4E">
        <w:rPr>
          <w:szCs w:val="30"/>
        </w:rPr>
        <w:t>7104 90 000 1</w:t>
      </w:r>
      <w:r w:rsidR="003A245C" w:rsidRPr="00EB6B4E">
        <w:rPr>
          <w:szCs w:val="30"/>
        </w:rPr>
        <w:t>, 7104 90 000 3, 7104 90 000 4, 7104 90 000 5, 7104 90 000 6 и 7104 90 000 8</w:t>
      </w:r>
      <w:r w:rsidR="004D347C">
        <w:rPr>
          <w:szCs w:val="30"/>
        </w:rPr>
        <w:t xml:space="preserve"> </w:t>
      </w:r>
      <w:r w:rsidR="003A245C" w:rsidRPr="00EB6B4E">
        <w:rPr>
          <w:szCs w:val="30"/>
        </w:rPr>
        <w:t>ТН ВЭД ЕАЭС исключить.</w:t>
      </w:r>
    </w:p>
    <w:sectPr w:rsidR="006E1AE3" w:rsidRPr="008E26E0" w:rsidSect="00E8232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41" w:rsidRDefault="002F7541" w:rsidP="006E5357">
      <w:pPr>
        <w:spacing w:after="0" w:line="240" w:lineRule="auto"/>
      </w:pPr>
      <w:r>
        <w:separator/>
      </w:r>
    </w:p>
  </w:endnote>
  <w:endnote w:type="continuationSeparator" w:id="0">
    <w:p w:rsidR="002F7541" w:rsidRDefault="002F7541" w:rsidP="006E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41" w:rsidRDefault="002F7541" w:rsidP="006E5357">
      <w:pPr>
        <w:spacing w:after="0" w:line="240" w:lineRule="auto"/>
      </w:pPr>
      <w:r>
        <w:separator/>
      </w:r>
    </w:p>
  </w:footnote>
  <w:footnote w:type="continuationSeparator" w:id="0">
    <w:p w:rsidR="002F7541" w:rsidRDefault="002F7541" w:rsidP="006E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7E" w:rsidRPr="00453F98" w:rsidRDefault="0000617E">
    <w:pPr>
      <w:pStyle w:val="a6"/>
      <w:jc w:val="center"/>
      <w:rPr>
        <w:szCs w:val="30"/>
      </w:rPr>
    </w:pPr>
    <w:r w:rsidRPr="00453F98">
      <w:rPr>
        <w:szCs w:val="30"/>
      </w:rPr>
      <w:fldChar w:fldCharType="begin"/>
    </w:r>
    <w:r w:rsidRPr="00453F98">
      <w:rPr>
        <w:szCs w:val="30"/>
      </w:rPr>
      <w:instrText>PAGE   \* MERGEFORMAT</w:instrText>
    </w:r>
    <w:r w:rsidRPr="00453F98">
      <w:rPr>
        <w:szCs w:val="30"/>
      </w:rPr>
      <w:fldChar w:fldCharType="separate"/>
    </w:r>
    <w:r w:rsidR="009A6701">
      <w:rPr>
        <w:noProof/>
        <w:szCs w:val="30"/>
      </w:rPr>
      <w:t>2</w:t>
    </w:r>
    <w:r w:rsidRPr="00453F98">
      <w:rPr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56"/>
    <w:rsid w:val="0000087F"/>
    <w:rsid w:val="0000617E"/>
    <w:rsid w:val="00013CEC"/>
    <w:rsid w:val="00015EFB"/>
    <w:rsid w:val="00026D73"/>
    <w:rsid w:val="00027E6F"/>
    <w:rsid w:val="000327B5"/>
    <w:rsid w:val="00041082"/>
    <w:rsid w:val="0004568E"/>
    <w:rsid w:val="00046BE7"/>
    <w:rsid w:val="00046F8E"/>
    <w:rsid w:val="0005182F"/>
    <w:rsid w:val="00051EE8"/>
    <w:rsid w:val="0005366F"/>
    <w:rsid w:val="0005634B"/>
    <w:rsid w:val="00060FB8"/>
    <w:rsid w:val="00066E8E"/>
    <w:rsid w:val="00076B34"/>
    <w:rsid w:val="00076C9D"/>
    <w:rsid w:val="00086F1D"/>
    <w:rsid w:val="00087FC4"/>
    <w:rsid w:val="0009204E"/>
    <w:rsid w:val="000954BF"/>
    <w:rsid w:val="00095976"/>
    <w:rsid w:val="000B2193"/>
    <w:rsid w:val="000B2BE9"/>
    <w:rsid w:val="000C39E1"/>
    <w:rsid w:val="000C5476"/>
    <w:rsid w:val="000C5D33"/>
    <w:rsid w:val="000D0E85"/>
    <w:rsid w:val="000D11D7"/>
    <w:rsid w:val="000D18F4"/>
    <w:rsid w:val="000D2E25"/>
    <w:rsid w:val="000D4957"/>
    <w:rsid w:val="000D79AA"/>
    <w:rsid w:val="000E0935"/>
    <w:rsid w:val="000E2A36"/>
    <w:rsid w:val="000F7A79"/>
    <w:rsid w:val="00103CDD"/>
    <w:rsid w:val="00111867"/>
    <w:rsid w:val="0011594F"/>
    <w:rsid w:val="00125520"/>
    <w:rsid w:val="00132907"/>
    <w:rsid w:val="00141EC1"/>
    <w:rsid w:val="00142CA2"/>
    <w:rsid w:val="00144F75"/>
    <w:rsid w:val="00156553"/>
    <w:rsid w:val="001619EC"/>
    <w:rsid w:val="00164C67"/>
    <w:rsid w:val="001835F6"/>
    <w:rsid w:val="0019695A"/>
    <w:rsid w:val="001A2EC6"/>
    <w:rsid w:val="001A5C69"/>
    <w:rsid w:val="001B57C4"/>
    <w:rsid w:val="001C242E"/>
    <w:rsid w:val="001C51E8"/>
    <w:rsid w:val="001C6AF2"/>
    <w:rsid w:val="001C78D4"/>
    <w:rsid w:val="001D04BF"/>
    <w:rsid w:val="001D296F"/>
    <w:rsid w:val="001D4C04"/>
    <w:rsid w:val="001D6B50"/>
    <w:rsid w:val="001D7274"/>
    <w:rsid w:val="001D759E"/>
    <w:rsid w:val="001E0D1D"/>
    <w:rsid w:val="001E1086"/>
    <w:rsid w:val="001E6ACD"/>
    <w:rsid w:val="001E6F1C"/>
    <w:rsid w:val="001E7824"/>
    <w:rsid w:val="001F0535"/>
    <w:rsid w:val="001F17F7"/>
    <w:rsid w:val="001F59E7"/>
    <w:rsid w:val="001F5BEE"/>
    <w:rsid w:val="001F6FA1"/>
    <w:rsid w:val="00200CE1"/>
    <w:rsid w:val="00203B0A"/>
    <w:rsid w:val="00204B62"/>
    <w:rsid w:val="00205331"/>
    <w:rsid w:val="00210C9C"/>
    <w:rsid w:val="00211CB6"/>
    <w:rsid w:val="00212DC7"/>
    <w:rsid w:val="0021452C"/>
    <w:rsid w:val="00227458"/>
    <w:rsid w:val="00227A10"/>
    <w:rsid w:val="00233076"/>
    <w:rsid w:val="00235A76"/>
    <w:rsid w:val="00237C15"/>
    <w:rsid w:val="002409FE"/>
    <w:rsid w:val="00241AEC"/>
    <w:rsid w:val="00242D25"/>
    <w:rsid w:val="00245188"/>
    <w:rsid w:val="0024725D"/>
    <w:rsid w:val="00250262"/>
    <w:rsid w:val="00251F81"/>
    <w:rsid w:val="00255A45"/>
    <w:rsid w:val="00263D56"/>
    <w:rsid w:val="002647DE"/>
    <w:rsid w:val="002678AE"/>
    <w:rsid w:val="00270FC7"/>
    <w:rsid w:val="002715F3"/>
    <w:rsid w:val="00272BD8"/>
    <w:rsid w:val="00273092"/>
    <w:rsid w:val="002836F0"/>
    <w:rsid w:val="002858F0"/>
    <w:rsid w:val="002868E2"/>
    <w:rsid w:val="00287133"/>
    <w:rsid w:val="00294254"/>
    <w:rsid w:val="00295EE3"/>
    <w:rsid w:val="002A774B"/>
    <w:rsid w:val="002B5A3A"/>
    <w:rsid w:val="002C6417"/>
    <w:rsid w:val="002D2A2A"/>
    <w:rsid w:val="002D6559"/>
    <w:rsid w:val="002E0608"/>
    <w:rsid w:val="002F3688"/>
    <w:rsid w:val="002F7541"/>
    <w:rsid w:val="003011E7"/>
    <w:rsid w:val="003036A3"/>
    <w:rsid w:val="0030463F"/>
    <w:rsid w:val="003108D6"/>
    <w:rsid w:val="003138CF"/>
    <w:rsid w:val="0031626B"/>
    <w:rsid w:val="00320CCB"/>
    <w:rsid w:val="00327D2B"/>
    <w:rsid w:val="003327D7"/>
    <w:rsid w:val="00333772"/>
    <w:rsid w:val="003376FE"/>
    <w:rsid w:val="00340025"/>
    <w:rsid w:val="00346D4F"/>
    <w:rsid w:val="00351759"/>
    <w:rsid w:val="00354E27"/>
    <w:rsid w:val="00364486"/>
    <w:rsid w:val="0036570D"/>
    <w:rsid w:val="00372CCE"/>
    <w:rsid w:val="00383B91"/>
    <w:rsid w:val="00386AA6"/>
    <w:rsid w:val="00390B8A"/>
    <w:rsid w:val="00390B8C"/>
    <w:rsid w:val="00392138"/>
    <w:rsid w:val="00397738"/>
    <w:rsid w:val="003A0A1C"/>
    <w:rsid w:val="003A23F9"/>
    <w:rsid w:val="003A245C"/>
    <w:rsid w:val="003A4E2D"/>
    <w:rsid w:val="003A62A2"/>
    <w:rsid w:val="003A7F6E"/>
    <w:rsid w:val="003B088C"/>
    <w:rsid w:val="003C0FF3"/>
    <w:rsid w:val="003C410C"/>
    <w:rsid w:val="003C7457"/>
    <w:rsid w:val="003C7C0F"/>
    <w:rsid w:val="003E22EA"/>
    <w:rsid w:val="003E3464"/>
    <w:rsid w:val="003E6555"/>
    <w:rsid w:val="003E6649"/>
    <w:rsid w:val="003F2B9C"/>
    <w:rsid w:val="003F742A"/>
    <w:rsid w:val="004013B1"/>
    <w:rsid w:val="004113D0"/>
    <w:rsid w:val="00413489"/>
    <w:rsid w:val="00414D6A"/>
    <w:rsid w:val="004178DB"/>
    <w:rsid w:val="0042142C"/>
    <w:rsid w:val="00426144"/>
    <w:rsid w:val="004270B7"/>
    <w:rsid w:val="00437A52"/>
    <w:rsid w:val="00442EBA"/>
    <w:rsid w:val="0044585A"/>
    <w:rsid w:val="00446DB3"/>
    <w:rsid w:val="00453F98"/>
    <w:rsid w:val="0045708E"/>
    <w:rsid w:val="00461F51"/>
    <w:rsid w:val="0046366A"/>
    <w:rsid w:val="004644D7"/>
    <w:rsid w:val="00470C98"/>
    <w:rsid w:val="00475286"/>
    <w:rsid w:val="00475749"/>
    <w:rsid w:val="00476401"/>
    <w:rsid w:val="00477B1D"/>
    <w:rsid w:val="00477DB7"/>
    <w:rsid w:val="00481B2E"/>
    <w:rsid w:val="00482FBC"/>
    <w:rsid w:val="00484588"/>
    <w:rsid w:val="00485483"/>
    <w:rsid w:val="00490398"/>
    <w:rsid w:val="00491CE6"/>
    <w:rsid w:val="00492A2F"/>
    <w:rsid w:val="00494330"/>
    <w:rsid w:val="00494E39"/>
    <w:rsid w:val="004A0E85"/>
    <w:rsid w:val="004A5226"/>
    <w:rsid w:val="004B0D18"/>
    <w:rsid w:val="004B3010"/>
    <w:rsid w:val="004C0551"/>
    <w:rsid w:val="004C1291"/>
    <w:rsid w:val="004C4969"/>
    <w:rsid w:val="004C7114"/>
    <w:rsid w:val="004D1B04"/>
    <w:rsid w:val="004D2872"/>
    <w:rsid w:val="004D2DF3"/>
    <w:rsid w:val="004D347C"/>
    <w:rsid w:val="004E5E10"/>
    <w:rsid w:val="004F1E78"/>
    <w:rsid w:val="004F47CD"/>
    <w:rsid w:val="004F62FA"/>
    <w:rsid w:val="004F630A"/>
    <w:rsid w:val="004F684D"/>
    <w:rsid w:val="004F6E54"/>
    <w:rsid w:val="005001CB"/>
    <w:rsid w:val="00510A28"/>
    <w:rsid w:val="00515BE4"/>
    <w:rsid w:val="00526C4E"/>
    <w:rsid w:val="00526F3B"/>
    <w:rsid w:val="00527C07"/>
    <w:rsid w:val="00533226"/>
    <w:rsid w:val="005423CB"/>
    <w:rsid w:val="00544A0D"/>
    <w:rsid w:val="00550CFE"/>
    <w:rsid w:val="00555967"/>
    <w:rsid w:val="00557EF1"/>
    <w:rsid w:val="00560992"/>
    <w:rsid w:val="005626B6"/>
    <w:rsid w:val="0056626B"/>
    <w:rsid w:val="00570AA8"/>
    <w:rsid w:val="00570CB1"/>
    <w:rsid w:val="00575B58"/>
    <w:rsid w:val="00577538"/>
    <w:rsid w:val="00580CA8"/>
    <w:rsid w:val="00587320"/>
    <w:rsid w:val="00591AC4"/>
    <w:rsid w:val="005940A3"/>
    <w:rsid w:val="00597D60"/>
    <w:rsid w:val="00597F87"/>
    <w:rsid w:val="005A0704"/>
    <w:rsid w:val="005A33F8"/>
    <w:rsid w:val="005B032B"/>
    <w:rsid w:val="005B042E"/>
    <w:rsid w:val="005B5F00"/>
    <w:rsid w:val="005C041A"/>
    <w:rsid w:val="005C3A40"/>
    <w:rsid w:val="005D051B"/>
    <w:rsid w:val="005E411E"/>
    <w:rsid w:val="005E445D"/>
    <w:rsid w:val="005E63C2"/>
    <w:rsid w:val="005F1241"/>
    <w:rsid w:val="005F5EC2"/>
    <w:rsid w:val="005F78C3"/>
    <w:rsid w:val="00604094"/>
    <w:rsid w:val="00604C00"/>
    <w:rsid w:val="006068AE"/>
    <w:rsid w:val="0060703B"/>
    <w:rsid w:val="00613407"/>
    <w:rsid w:val="00616619"/>
    <w:rsid w:val="00617FD2"/>
    <w:rsid w:val="00627EEC"/>
    <w:rsid w:val="0063112E"/>
    <w:rsid w:val="0063250D"/>
    <w:rsid w:val="00633006"/>
    <w:rsid w:val="00633027"/>
    <w:rsid w:val="006351EE"/>
    <w:rsid w:val="00642026"/>
    <w:rsid w:val="00642768"/>
    <w:rsid w:val="00644F3D"/>
    <w:rsid w:val="006473A9"/>
    <w:rsid w:val="00656653"/>
    <w:rsid w:val="00663CAB"/>
    <w:rsid w:val="006651A4"/>
    <w:rsid w:val="0066599D"/>
    <w:rsid w:val="00665F04"/>
    <w:rsid w:val="006709FA"/>
    <w:rsid w:val="00670F2E"/>
    <w:rsid w:val="00672AB4"/>
    <w:rsid w:val="00682606"/>
    <w:rsid w:val="00682F22"/>
    <w:rsid w:val="00684C68"/>
    <w:rsid w:val="006A144A"/>
    <w:rsid w:val="006B1929"/>
    <w:rsid w:val="006B5027"/>
    <w:rsid w:val="006B7832"/>
    <w:rsid w:val="006C276A"/>
    <w:rsid w:val="006C573A"/>
    <w:rsid w:val="006C6068"/>
    <w:rsid w:val="006C6B10"/>
    <w:rsid w:val="006C6B67"/>
    <w:rsid w:val="006C6E61"/>
    <w:rsid w:val="006D05CC"/>
    <w:rsid w:val="006E1AE3"/>
    <w:rsid w:val="006E416A"/>
    <w:rsid w:val="006E4271"/>
    <w:rsid w:val="006E5357"/>
    <w:rsid w:val="006F17A4"/>
    <w:rsid w:val="006F2A66"/>
    <w:rsid w:val="006F3C9E"/>
    <w:rsid w:val="006F483C"/>
    <w:rsid w:val="00702B3E"/>
    <w:rsid w:val="007043C4"/>
    <w:rsid w:val="00711347"/>
    <w:rsid w:val="00711FB2"/>
    <w:rsid w:val="0071246F"/>
    <w:rsid w:val="00712AB1"/>
    <w:rsid w:val="00712FE4"/>
    <w:rsid w:val="007132D3"/>
    <w:rsid w:val="00726054"/>
    <w:rsid w:val="00726C56"/>
    <w:rsid w:val="00727B0C"/>
    <w:rsid w:val="0073085C"/>
    <w:rsid w:val="0073309E"/>
    <w:rsid w:val="00734B11"/>
    <w:rsid w:val="00736CAE"/>
    <w:rsid w:val="00740BD1"/>
    <w:rsid w:val="00752943"/>
    <w:rsid w:val="007529A9"/>
    <w:rsid w:val="00753649"/>
    <w:rsid w:val="00774DE9"/>
    <w:rsid w:val="00775C7A"/>
    <w:rsid w:val="00782242"/>
    <w:rsid w:val="007828B3"/>
    <w:rsid w:val="00782FD1"/>
    <w:rsid w:val="007958D3"/>
    <w:rsid w:val="007A4DF6"/>
    <w:rsid w:val="007B0681"/>
    <w:rsid w:val="007B1492"/>
    <w:rsid w:val="007B17FE"/>
    <w:rsid w:val="007B1ECF"/>
    <w:rsid w:val="007B4C12"/>
    <w:rsid w:val="007B7601"/>
    <w:rsid w:val="007C6890"/>
    <w:rsid w:val="007D5159"/>
    <w:rsid w:val="007D618D"/>
    <w:rsid w:val="007E13C9"/>
    <w:rsid w:val="007E2D3E"/>
    <w:rsid w:val="00810B17"/>
    <w:rsid w:val="00812EE0"/>
    <w:rsid w:val="008138F6"/>
    <w:rsid w:val="00820772"/>
    <w:rsid w:val="00825512"/>
    <w:rsid w:val="0082579E"/>
    <w:rsid w:val="008314F7"/>
    <w:rsid w:val="008329F8"/>
    <w:rsid w:val="00832DFB"/>
    <w:rsid w:val="00834D10"/>
    <w:rsid w:val="008369B0"/>
    <w:rsid w:val="00844EE4"/>
    <w:rsid w:val="00845662"/>
    <w:rsid w:val="0085308A"/>
    <w:rsid w:val="008547A6"/>
    <w:rsid w:val="00855614"/>
    <w:rsid w:val="00862F78"/>
    <w:rsid w:val="008648C3"/>
    <w:rsid w:val="00867DBF"/>
    <w:rsid w:val="00886A21"/>
    <w:rsid w:val="00894FB7"/>
    <w:rsid w:val="00895997"/>
    <w:rsid w:val="008976ED"/>
    <w:rsid w:val="008A0331"/>
    <w:rsid w:val="008A2CD6"/>
    <w:rsid w:val="008A681D"/>
    <w:rsid w:val="008A732E"/>
    <w:rsid w:val="008B1ADC"/>
    <w:rsid w:val="008C4162"/>
    <w:rsid w:val="008C4382"/>
    <w:rsid w:val="008C7693"/>
    <w:rsid w:val="008E26E0"/>
    <w:rsid w:val="008E2D41"/>
    <w:rsid w:val="008E6AA1"/>
    <w:rsid w:val="008F13B6"/>
    <w:rsid w:val="008F5229"/>
    <w:rsid w:val="008F5B70"/>
    <w:rsid w:val="00905386"/>
    <w:rsid w:val="00905CE6"/>
    <w:rsid w:val="0090662F"/>
    <w:rsid w:val="00910531"/>
    <w:rsid w:val="009174F7"/>
    <w:rsid w:val="009213FE"/>
    <w:rsid w:val="00922F8A"/>
    <w:rsid w:val="00927FF6"/>
    <w:rsid w:val="00933D75"/>
    <w:rsid w:val="00934620"/>
    <w:rsid w:val="00947741"/>
    <w:rsid w:val="00951FB7"/>
    <w:rsid w:val="00952E1A"/>
    <w:rsid w:val="00954001"/>
    <w:rsid w:val="009556A9"/>
    <w:rsid w:val="00957738"/>
    <w:rsid w:val="00960DBE"/>
    <w:rsid w:val="00963323"/>
    <w:rsid w:val="00964A5A"/>
    <w:rsid w:val="0097160E"/>
    <w:rsid w:val="00973A51"/>
    <w:rsid w:val="0097524C"/>
    <w:rsid w:val="00976801"/>
    <w:rsid w:val="00977F4C"/>
    <w:rsid w:val="00984999"/>
    <w:rsid w:val="00996F09"/>
    <w:rsid w:val="009A0170"/>
    <w:rsid w:val="009A5766"/>
    <w:rsid w:val="009A6701"/>
    <w:rsid w:val="009B23AD"/>
    <w:rsid w:val="009B27B0"/>
    <w:rsid w:val="009B2B37"/>
    <w:rsid w:val="009B2C6A"/>
    <w:rsid w:val="009B4F8A"/>
    <w:rsid w:val="009C016D"/>
    <w:rsid w:val="009C0506"/>
    <w:rsid w:val="009C1F6C"/>
    <w:rsid w:val="009C73DF"/>
    <w:rsid w:val="009C7C04"/>
    <w:rsid w:val="009D40B6"/>
    <w:rsid w:val="009D62B9"/>
    <w:rsid w:val="009E1114"/>
    <w:rsid w:val="009E259E"/>
    <w:rsid w:val="009E40C2"/>
    <w:rsid w:val="009E47EB"/>
    <w:rsid w:val="009E722A"/>
    <w:rsid w:val="009F176D"/>
    <w:rsid w:val="009F1DB1"/>
    <w:rsid w:val="009F5101"/>
    <w:rsid w:val="009F7F45"/>
    <w:rsid w:val="00A079DA"/>
    <w:rsid w:val="00A158DB"/>
    <w:rsid w:val="00A16C0D"/>
    <w:rsid w:val="00A22034"/>
    <w:rsid w:val="00A33FBC"/>
    <w:rsid w:val="00A37185"/>
    <w:rsid w:val="00A37660"/>
    <w:rsid w:val="00A37C3D"/>
    <w:rsid w:val="00A454D0"/>
    <w:rsid w:val="00A456DA"/>
    <w:rsid w:val="00A4699E"/>
    <w:rsid w:val="00A47D2A"/>
    <w:rsid w:val="00A50ABB"/>
    <w:rsid w:val="00A539D6"/>
    <w:rsid w:val="00A543F0"/>
    <w:rsid w:val="00A554F5"/>
    <w:rsid w:val="00A64AA6"/>
    <w:rsid w:val="00A661B1"/>
    <w:rsid w:val="00A70AC2"/>
    <w:rsid w:val="00A71335"/>
    <w:rsid w:val="00A74AA5"/>
    <w:rsid w:val="00A7677C"/>
    <w:rsid w:val="00A768EA"/>
    <w:rsid w:val="00A81B0E"/>
    <w:rsid w:val="00A8590B"/>
    <w:rsid w:val="00A86379"/>
    <w:rsid w:val="00A92A0F"/>
    <w:rsid w:val="00A93576"/>
    <w:rsid w:val="00A9597C"/>
    <w:rsid w:val="00AA4D8F"/>
    <w:rsid w:val="00AA5BD6"/>
    <w:rsid w:val="00AB09E9"/>
    <w:rsid w:val="00AB1840"/>
    <w:rsid w:val="00AB4BA3"/>
    <w:rsid w:val="00AB53E2"/>
    <w:rsid w:val="00AB74DF"/>
    <w:rsid w:val="00AC45D0"/>
    <w:rsid w:val="00AC65D7"/>
    <w:rsid w:val="00AE0547"/>
    <w:rsid w:val="00AE13F8"/>
    <w:rsid w:val="00AE1A43"/>
    <w:rsid w:val="00AF316D"/>
    <w:rsid w:val="00AF4E4C"/>
    <w:rsid w:val="00B0007B"/>
    <w:rsid w:val="00B05B41"/>
    <w:rsid w:val="00B123D8"/>
    <w:rsid w:val="00B1419E"/>
    <w:rsid w:val="00B14488"/>
    <w:rsid w:val="00B21C52"/>
    <w:rsid w:val="00B22B4F"/>
    <w:rsid w:val="00B400DA"/>
    <w:rsid w:val="00B42606"/>
    <w:rsid w:val="00B4469D"/>
    <w:rsid w:val="00B449C7"/>
    <w:rsid w:val="00B46C40"/>
    <w:rsid w:val="00B52D01"/>
    <w:rsid w:val="00B563A3"/>
    <w:rsid w:val="00B60006"/>
    <w:rsid w:val="00B601B0"/>
    <w:rsid w:val="00B65442"/>
    <w:rsid w:val="00B65F13"/>
    <w:rsid w:val="00B65FCA"/>
    <w:rsid w:val="00B74737"/>
    <w:rsid w:val="00B74A66"/>
    <w:rsid w:val="00B75245"/>
    <w:rsid w:val="00B85E7A"/>
    <w:rsid w:val="00B85FAF"/>
    <w:rsid w:val="00B87551"/>
    <w:rsid w:val="00B92B7A"/>
    <w:rsid w:val="00B94250"/>
    <w:rsid w:val="00B9556B"/>
    <w:rsid w:val="00BA060E"/>
    <w:rsid w:val="00BA0698"/>
    <w:rsid w:val="00BA657A"/>
    <w:rsid w:val="00BB0E15"/>
    <w:rsid w:val="00BB1B3F"/>
    <w:rsid w:val="00BB2C26"/>
    <w:rsid w:val="00BB6E99"/>
    <w:rsid w:val="00BB751F"/>
    <w:rsid w:val="00BC28B4"/>
    <w:rsid w:val="00BC579F"/>
    <w:rsid w:val="00BD0FA2"/>
    <w:rsid w:val="00BD3030"/>
    <w:rsid w:val="00BD5B06"/>
    <w:rsid w:val="00BE30A5"/>
    <w:rsid w:val="00BF424C"/>
    <w:rsid w:val="00C01B0B"/>
    <w:rsid w:val="00C02B3A"/>
    <w:rsid w:val="00C1025C"/>
    <w:rsid w:val="00C11D6F"/>
    <w:rsid w:val="00C1237E"/>
    <w:rsid w:val="00C21EF3"/>
    <w:rsid w:val="00C2300A"/>
    <w:rsid w:val="00C25DA8"/>
    <w:rsid w:val="00C27540"/>
    <w:rsid w:val="00C278AF"/>
    <w:rsid w:val="00C27B08"/>
    <w:rsid w:val="00C32BE8"/>
    <w:rsid w:val="00C364F2"/>
    <w:rsid w:val="00C36EB6"/>
    <w:rsid w:val="00C41102"/>
    <w:rsid w:val="00C47C24"/>
    <w:rsid w:val="00C525AC"/>
    <w:rsid w:val="00C53C50"/>
    <w:rsid w:val="00C60C2E"/>
    <w:rsid w:val="00C64C45"/>
    <w:rsid w:val="00C64F7B"/>
    <w:rsid w:val="00C70CF5"/>
    <w:rsid w:val="00C73E2B"/>
    <w:rsid w:val="00C77105"/>
    <w:rsid w:val="00C83186"/>
    <w:rsid w:val="00CA2F26"/>
    <w:rsid w:val="00CA5F39"/>
    <w:rsid w:val="00CC101C"/>
    <w:rsid w:val="00CC233A"/>
    <w:rsid w:val="00CC28E4"/>
    <w:rsid w:val="00CC2AEC"/>
    <w:rsid w:val="00CC4AF0"/>
    <w:rsid w:val="00CC4E32"/>
    <w:rsid w:val="00CC7DD9"/>
    <w:rsid w:val="00CD7B65"/>
    <w:rsid w:val="00CE63C7"/>
    <w:rsid w:val="00CF40C4"/>
    <w:rsid w:val="00CF5188"/>
    <w:rsid w:val="00CF5985"/>
    <w:rsid w:val="00D0096F"/>
    <w:rsid w:val="00D00E8A"/>
    <w:rsid w:val="00D013C6"/>
    <w:rsid w:val="00D026C4"/>
    <w:rsid w:val="00D209B5"/>
    <w:rsid w:val="00D24CB4"/>
    <w:rsid w:val="00D27A3C"/>
    <w:rsid w:val="00D30843"/>
    <w:rsid w:val="00D34B6B"/>
    <w:rsid w:val="00D34F1A"/>
    <w:rsid w:val="00D404EA"/>
    <w:rsid w:val="00D40631"/>
    <w:rsid w:val="00D40B70"/>
    <w:rsid w:val="00D45284"/>
    <w:rsid w:val="00D47E6E"/>
    <w:rsid w:val="00D5009B"/>
    <w:rsid w:val="00D50136"/>
    <w:rsid w:val="00D55BAC"/>
    <w:rsid w:val="00D5658C"/>
    <w:rsid w:val="00D704D6"/>
    <w:rsid w:val="00D7365F"/>
    <w:rsid w:val="00D76D49"/>
    <w:rsid w:val="00D77835"/>
    <w:rsid w:val="00D80E0A"/>
    <w:rsid w:val="00D8228B"/>
    <w:rsid w:val="00D86F63"/>
    <w:rsid w:val="00D921FA"/>
    <w:rsid w:val="00D94E55"/>
    <w:rsid w:val="00D954AA"/>
    <w:rsid w:val="00D96212"/>
    <w:rsid w:val="00DA23DD"/>
    <w:rsid w:val="00DA3D03"/>
    <w:rsid w:val="00DA48A6"/>
    <w:rsid w:val="00DA66B8"/>
    <w:rsid w:val="00DB5D16"/>
    <w:rsid w:val="00DC50DB"/>
    <w:rsid w:val="00DD0941"/>
    <w:rsid w:val="00DD7996"/>
    <w:rsid w:val="00DE46AB"/>
    <w:rsid w:val="00DF0DCD"/>
    <w:rsid w:val="00E00B78"/>
    <w:rsid w:val="00E01248"/>
    <w:rsid w:val="00E05B63"/>
    <w:rsid w:val="00E064DA"/>
    <w:rsid w:val="00E12448"/>
    <w:rsid w:val="00E1739D"/>
    <w:rsid w:val="00E21A26"/>
    <w:rsid w:val="00E27916"/>
    <w:rsid w:val="00E3280C"/>
    <w:rsid w:val="00E3608C"/>
    <w:rsid w:val="00E5178A"/>
    <w:rsid w:val="00E52056"/>
    <w:rsid w:val="00E52AF9"/>
    <w:rsid w:val="00E540B3"/>
    <w:rsid w:val="00E632E1"/>
    <w:rsid w:val="00E63EDE"/>
    <w:rsid w:val="00E720EA"/>
    <w:rsid w:val="00E82324"/>
    <w:rsid w:val="00E83211"/>
    <w:rsid w:val="00E8474A"/>
    <w:rsid w:val="00E84EC6"/>
    <w:rsid w:val="00E9281C"/>
    <w:rsid w:val="00EA219A"/>
    <w:rsid w:val="00EA684D"/>
    <w:rsid w:val="00EA6D76"/>
    <w:rsid w:val="00EB6B4E"/>
    <w:rsid w:val="00EC1997"/>
    <w:rsid w:val="00ED00C1"/>
    <w:rsid w:val="00ED61DC"/>
    <w:rsid w:val="00ED7DA5"/>
    <w:rsid w:val="00EE26F4"/>
    <w:rsid w:val="00EE2757"/>
    <w:rsid w:val="00F037BD"/>
    <w:rsid w:val="00F05AB1"/>
    <w:rsid w:val="00F1094A"/>
    <w:rsid w:val="00F12298"/>
    <w:rsid w:val="00F13D27"/>
    <w:rsid w:val="00F14C12"/>
    <w:rsid w:val="00F1667E"/>
    <w:rsid w:val="00F16C4C"/>
    <w:rsid w:val="00F41D77"/>
    <w:rsid w:val="00F42DB8"/>
    <w:rsid w:val="00F44A3D"/>
    <w:rsid w:val="00F44C69"/>
    <w:rsid w:val="00F5018C"/>
    <w:rsid w:val="00F529D1"/>
    <w:rsid w:val="00F52A5F"/>
    <w:rsid w:val="00F53E85"/>
    <w:rsid w:val="00F5619A"/>
    <w:rsid w:val="00F56A28"/>
    <w:rsid w:val="00F66023"/>
    <w:rsid w:val="00F66EC9"/>
    <w:rsid w:val="00F67A14"/>
    <w:rsid w:val="00F707AD"/>
    <w:rsid w:val="00F735A0"/>
    <w:rsid w:val="00F74095"/>
    <w:rsid w:val="00F80EF2"/>
    <w:rsid w:val="00F820EB"/>
    <w:rsid w:val="00F85F41"/>
    <w:rsid w:val="00F900C6"/>
    <w:rsid w:val="00F9453A"/>
    <w:rsid w:val="00F97026"/>
    <w:rsid w:val="00FB15F5"/>
    <w:rsid w:val="00FB2FE5"/>
    <w:rsid w:val="00FC0437"/>
    <w:rsid w:val="00FC4A65"/>
    <w:rsid w:val="00FD4E6F"/>
    <w:rsid w:val="00FE2FB1"/>
    <w:rsid w:val="00FE661E"/>
    <w:rsid w:val="00FE6E50"/>
    <w:rsid w:val="00FE6EF9"/>
    <w:rsid w:val="00FE70BB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3907D46-00EF-4FAB-8127-44EC129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41"/>
    <w:pPr>
      <w:spacing w:after="200" w:line="276" w:lineRule="auto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094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3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53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6">
    <w:name w:val="Font Style16"/>
    <w:rsid w:val="009F7F45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535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535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5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9AD2-63FC-4FF4-8628-D29891C3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Бобкова Александра Николаевна</cp:lastModifiedBy>
  <cp:revision>4</cp:revision>
  <cp:lastPrinted>2021-02-19T06:49:00Z</cp:lastPrinted>
  <dcterms:created xsi:type="dcterms:W3CDTF">2020-12-23T07:23:00Z</dcterms:created>
  <dcterms:modified xsi:type="dcterms:W3CDTF">2021-02-19T06:49:00Z</dcterms:modified>
</cp:coreProperties>
</file>